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614142509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F13B09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614142510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8B31DC">
        <w:rPr>
          <w:rFonts w:ascii="Times New Roman" w:eastAsia="Times New Roman" w:hAnsi="Times New Roman" w:cs="Times New Roman"/>
          <w:b/>
          <w:sz w:val="26"/>
          <w:szCs w:val="26"/>
        </w:rPr>
        <w:t>07.03.</w:t>
      </w:r>
      <w:r w:rsidR="00E51134">
        <w:rPr>
          <w:rFonts w:ascii="Times New Roman" w:eastAsia="Times New Roman" w:hAnsi="Times New Roman" w:cs="Times New Roman"/>
          <w:b/>
          <w:sz w:val="26"/>
          <w:szCs w:val="26"/>
        </w:rPr>
        <w:t xml:space="preserve"> 2019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8B31DC">
        <w:rPr>
          <w:rFonts w:ascii="Times New Roman" w:eastAsia="Times New Roman" w:hAnsi="Times New Roman" w:cs="Times New Roman"/>
          <w:b/>
          <w:sz w:val="26"/>
          <w:szCs w:val="26"/>
        </w:rPr>
        <w:t>244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51134">
        <w:rPr>
          <w:rFonts w:ascii="Times New Roman" w:eastAsia="Times New Roman" w:hAnsi="Times New Roman" w:cs="Times New Roman"/>
          <w:b/>
          <w:sz w:val="26"/>
          <w:szCs w:val="26"/>
        </w:rPr>
        <w:t>Ильевского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E5113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113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6C2750" w:rsidRPr="006C2750">
        <w:rPr>
          <w:rFonts w:ascii="Times New Roman" w:eastAsia="Times New Roman" w:hAnsi="Times New Roman" w:cs="Times New Roman"/>
          <w:sz w:val="24"/>
          <w:szCs w:val="24"/>
        </w:rPr>
        <w:t xml:space="preserve">Ильевского   сельского  поселения Калачевского муниципального района Волгоградской области от 18.04.2014г. №177                       (в редакции решений Калачевской районной Думы №263 от 17.05.2017, №430 от </w:t>
      </w:r>
      <w:r w:rsidR="006C2750">
        <w:rPr>
          <w:rFonts w:ascii="Times New Roman" w:eastAsia="Times New Roman" w:hAnsi="Times New Roman" w:cs="Times New Roman"/>
          <w:sz w:val="24"/>
          <w:szCs w:val="24"/>
        </w:rPr>
        <w:t>15.06.2017, №352 от 15.12.2017, №473 от 15.02.2018г.</w:t>
      </w:r>
      <w:r w:rsidR="006C2750" w:rsidRPr="006C27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113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1134">
        <w:rPr>
          <w:rFonts w:ascii="Times New Roman" w:eastAsia="Times New Roman" w:hAnsi="Times New Roman" w:cs="Times New Roman"/>
          <w:sz w:val="24"/>
          <w:szCs w:val="24"/>
        </w:rPr>
        <w:t>Ильевского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16596E" w:rsidRDefault="0016596E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F55FDE">
        <w:rPr>
          <w:color w:val="141414"/>
          <w:sz w:val="22"/>
          <w:szCs w:val="22"/>
        </w:rPr>
        <w:t xml:space="preserve"> « 07</w:t>
      </w:r>
      <w:r w:rsidR="00741EC0" w:rsidRPr="00741EC0">
        <w:rPr>
          <w:color w:val="141414"/>
          <w:sz w:val="22"/>
          <w:szCs w:val="22"/>
        </w:rPr>
        <w:t xml:space="preserve"> </w:t>
      </w:r>
      <w:r w:rsidR="005D640F">
        <w:rPr>
          <w:color w:val="141414"/>
          <w:sz w:val="22"/>
          <w:szCs w:val="22"/>
        </w:rPr>
        <w:t xml:space="preserve">» </w:t>
      </w:r>
      <w:r w:rsidR="00F55FDE">
        <w:rPr>
          <w:color w:val="141414"/>
          <w:sz w:val="22"/>
          <w:szCs w:val="22"/>
        </w:rPr>
        <w:t>03.</w:t>
      </w:r>
      <w:r w:rsidR="005D640F">
        <w:rPr>
          <w:color w:val="141414"/>
          <w:sz w:val="22"/>
          <w:szCs w:val="22"/>
        </w:rPr>
        <w:t xml:space="preserve"> 2019</w:t>
      </w:r>
      <w:r w:rsidR="00F55FDE">
        <w:rPr>
          <w:color w:val="141414"/>
          <w:sz w:val="22"/>
          <w:szCs w:val="22"/>
        </w:rPr>
        <w:t xml:space="preserve"> г. №244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№ п/п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16596E" w:rsidRDefault="00741EC0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Калачевского муниципального района Волгоградской области (далее – Глава)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16596E" w:rsidRDefault="0016596E" w:rsidP="0016596E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техническим заданием, но не более двух месяцев со дня принятия решения о разработки проекта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741EC0" w:rsidP="0065375A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65375A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16596E" w:rsidRDefault="0065375A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741EC0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65375A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(обнародование),  размещение на официальном сайте решения о проведении публичных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с даты принятия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решения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 проведении публичных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Калачевскую районную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Думу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(далее Дума)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ставления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лава 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Ильевского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 </w:t>
            </w:r>
          </w:p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Рассмотрение и утверждение Проекта  или направление 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27185F" w:rsidRPr="0016596E" w:rsidRDefault="000376D3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DB456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 даты утверждения 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 w:rsidR="00F55FDE">
        <w:t>ти</w:t>
      </w:r>
      <w:r w:rsidR="00F55FDE">
        <w:br/>
        <w:t>от « 07 » 03.</w:t>
      </w:r>
      <w:r w:rsidR="005D640F">
        <w:t xml:space="preserve"> 2019</w:t>
      </w:r>
      <w:bookmarkStart w:id="0" w:name="_GoBack"/>
      <w:bookmarkEnd w:id="0"/>
      <w:r w:rsidR="00F55FDE">
        <w:t xml:space="preserve"> г. № 244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B53D66" w:rsidRPr="00767A14">
        <w:rPr>
          <w:sz w:val="26"/>
          <w:szCs w:val="26"/>
        </w:rPr>
        <w:t xml:space="preserve"> 30 (тридцати) дней</w:t>
      </w:r>
      <w:r w:rsidR="00741EC0"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 w:rsidR="00E51134"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549" w:rsidRDefault="00AB2549" w:rsidP="00220915">
      <w:pPr>
        <w:spacing w:after="0" w:line="240" w:lineRule="auto"/>
      </w:pPr>
      <w:r>
        <w:separator/>
      </w:r>
    </w:p>
  </w:endnote>
  <w:endnote w:type="continuationSeparator" w:id="1">
    <w:p w:rsidR="00AB2549" w:rsidRDefault="00AB2549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549" w:rsidRDefault="00AB2549" w:rsidP="00220915">
      <w:pPr>
        <w:spacing w:after="0" w:line="240" w:lineRule="auto"/>
      </w:pPr>
      <w:r>
        <w:separator/>
      </w:r>
    </w:p>
  </w:footnote>
  <w:footnote w:type="continuationSeparator" w:id="1">
    <w:p w:rsidR="00AB2549" w:rsidRDefault="00AB2549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D640F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31DC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B2549"/>
    <w:rsid w:val="00AC24E9"/>
    <w:rsid w:val="00AC2838"/>
    <w:rsid w:val="00AC3A94"/>
    <w:rsid w:val="00AC53CB"/>
    <w:rsid w:val="00AD6EE6"/>
    <w:rsid w:val="00AE4537"/>
    <w:rsid w:val="00AE4B19"/>
    <w:rsid w:val="00AE6338"/>
    <w:rsid w:val="00AE7158"/>
    <w:rsid w:val="00AF0BE8"/>
    <w:rsid w:val="00AF15F3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67C"/>
    <w:rsid w:val="00ED1B21"/>
    <w:rsid w:val="00ED1C1B"/>
    <w:rsid w:val="00ED46D0"/>
    <w:rsid w:val="00EF1705"/>
    <w:rsid w:val="00EF6734"/>
    <w:rsid w:val="00F033BD"/>
    <w:rsid w:val="00F13B09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5FDE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A89C-87AA-4636-9B5D-C7FEBA4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6</cp:revision>
  <cp:lastPrinted>2019-02-28T11:43:00Z</cp:lastPrinted>
  <dcterms:created xsi:type="dcterms:W3CDTF">2019-02-28T11:37:00Z</dcterms:created>
  <dcterms:modified xsi:type="dcterms:W3CDTF">2019-03-15T03:09:00Z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